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2326" w14:textId="0812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23 қыркүйектегі № 406 бұйрығы. Қазақстан Республикасының Әділет министрлігінде 2022 жылғы 27 қыркүйекте № 29836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1"/>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bookmarkStart w:name="z8" w:id="2"/>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4"/>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bookmarkStart w:name="z13" w:id="5"/>
    <w:p>
      <w:pPr>
        <w:spacing w:after="0"/>
        <w:ind w:left="0"/>
        <w:jc w:val="both"/>
      </w:pPr>
      <w:r>
        <w:rPr>
          <w:rFonts w:ascii="Times New Roman"/>
          <w:b w:val="false"/>
          <w:i w:val="false"/>
          <w:color w:val="000000"/>
          <w:sz w:val="28"/>
        </w:rPr>
        <w:t>
      44. Сыныпты екі топқа бөлуге қалалық білім беру ұйымдарында сыныптарда білім алушылар саны – 24 және одан артық, ауылдықжерлерде білім алушылар саны – 20 және одан артық болғанда:</w:t>
      </w:r>
    </w:p>
    <w:bookmarkEnd w:id="5"/>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технология;</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технология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bookmarkStart w:name="z19" w:id="8"/>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8"/>
    <w:bookmarkStart w:name="z20" w:id="9"/>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21"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22"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23" w:id="1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44-тармағын</w:t>
      </w:r>
      <w:r>
        <w:rPr>
          <w:rFonts w:ascii="Times New Roman"/>
          <w:b w:val="false"/>
          <w:i w:val="false"/>
          <w:color w:val="000000"/>
          <w:sz w:val="28"/>
        </w:rPr>
        <w:t xml:space="preserve"> қоспағанда, алғашқы ресми жарияланған күнінен бастап қолданысқа енгізіледі және 2022 жылғы 1 қыркүйектен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