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bookmarkStart w:id="0" w:name="_GoBack"/>
      <w:bookmarkEnd w:id="0"/>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нәтижесі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E76016"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E76016">
        <w:rPr>
          <w:rFonts w:ascii="Arial" w:eastAsia="Times New Roman" w:hAnsi="Arial" w:cs="Arial"/>
          <w:b/>
          <w:sz w:val="24"/>
          <w:szCs w:val="24"/>
          <w:lang w:val="kk-KZ"/>
        </w:rPr>
        <w:t xml:space="preserve"> </w:t>
      </w:r>
    </w:p>
    <w:p w:rsidR="00E13C97" w:rsidRPr="00E76016" w:rsidRDefault="00E13C97" w:rsidP="00E13C97">
      <w:pPr>
        <w:tabs>
          <w:tab w:val="left" w:pos="0"/>
        </w:tabs>
        <w:jc w:val="center"/>
        <w:rPr>
          <w:rFonts w:ascii="Arial" w:eastAsia="Times New Roman" w:hAnsi="Arial" w:cs="Arial"/>
          <w:b/>
          <w:sz w:val="24"/>
          <w:szCs w:val="24"/>
          <w:lang w:val="kk-KZ"/>
        </w:rPr>
      </w:pP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E76016">
        <w:rPr>
          <w:rFonts w:ascii="Arial" w:eastAsia="Times New Roman" w:hAnsi="Arial" w:cs="Arial"/>
          <w:sz w:val="24"/>
          <w:szCs w:val="24"/>
          <w:lang w:val="kk-KZ"/>
        </w:rPr>
        <w:t xml:space="preserve"> ____________</w:t>
      </w:r>
    </w:p>
    <w:p w:rsidR="00E13C97" w:rsidRPr="00E76016" w:rsidRDefault="00E13C97" w:rsidP="00E13C97">
      <w:pPr>
        <w:tabs>
          <w:tab w:val="left" w:pos="0"/>
        </w:tabs>
        <w:jc w:val="both"/>
        <w:rPr>
          <w:rFonts w:ascii="Arial" w:eastAsia="Times New Roman" w:hAnsi="Arial" w:cs="Arial"/>
          <w:sz w:val="24"/>
          <w:szCs w:val="24"/>
          <w:lang w:val="kk-KZ"/>
        </w:rPr>
      </w:pPr>
      <w:r w:rsidRPr="00E76016">
        <w:rPr>
          <w:rFonts w:ascii="Arial" w:eastAsia="Times New Roman" w:hAnsi="Arial" w:cs="Arial"/>
          <w:sz w:val="24"/>
          <w:szCs w:val="24"/>
          <w:lang w:val="kk-KZ"/>
        </w:rPr>
        <w:t>№_</w:t>
      </w:r>
      <w:r w:rsidR="00752111" w:rsidRPr="00E76016">
        <w:rPr>
          <w:rFonts w:ascii="Arial" w:eastAsia="Times New Roman" w:hAnsi="Arial" w:cs="Arial"/>
          <w:sz w:val="24"/>
          <w:szCs w:val="24"/>
          <w:lang w:val="kk-KZ"/>
        </w:rPr>
        <w:t>_____________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E76016">
        <w:rPr>
          <w:rFonts w:ascii="Arial" w:eastAsia="Times New Roman" w:hAnsi="Arial" w:cs="Arial"/>
          <w:sz w:val="24"/>
          <w:szCs w:val="24"/>
          <w:lang w:val="kk-KZ"/>
        </w:rPr>
        <w:t xml:space="preserve"> _________________________________________________</w:t>
      </w:r>
      <w:r w:rsidR="00752111" w:rsidRPr="00E76016">
        <w:rPr>
          <w:rFonts w:ascii="Arial" w:eastAsia="Times New Roman" w:hAnsi="Arial" w:cs="Arial"/>
          <w:sz w:val="24"/>
          <w:szCs w:val="24"/>
          <w:lang w:val="kk-KZ"/>
        </w:rPr>
        <w:t>_____</w:t>
      </w:r>
      <w:r w:rsidRPr="00E76016">
        <w:rPr>
          <w:rFonts w:ascii="Arial" w:eastAsia="Times New Roman" w:hAnsi="Arial" w:cs="Arial"/>
          <w:sz w:val="24"/>
          <w:szCs w:val="24"/>
          <w:lang w:val="kk-KZ"/>
        </w:rPr>
        <w:t>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E76016">
        <w:rPr>
          <w:rFonts w:ascii="Arial" w:eastAsia="Times New Roman" w:hAnsi="Arial" w:cs="Arial"/>
          <w:sz w:val="24"/>
          <w:szCs w:val="24"/>
          <w:lang w:val="kk-KZ"/>
        </w:rPr>
        <w:t xml:space="preserve">: </w:t>
      </w:r>
    </w:p>
    <w:p w:rsidR="00E13C97" w:rsidRPr="00E76016" w:rsidRDefault="00E13C97" w:rsidP="00E13C97">
      <w:pPr>
        <w:tabs>
          <w:tab w:val="left" w:pos="0"/>
        </w:tabs>
        <w:jc w:val="both"/>
        <w:rPr>
          <w:rFonts w:ascii="Arial" w:eastAsia="Times New Roman" w:hAnsi="Arial" w:cs="Arial"/>
          <w:sz w:val="24"/>
          <w:szCs w:val="24"/>
          <w:lang w:val="kk-KZ"/>
        </w:rPr>
      </w:pPr>
      <w:r w:rsidRPr="00E76016">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E76016">
        <w:rPr>
          <w:rFonts w:ascii="Arial" w:eastAsia="Times New Roman" w:hAnsi="Arial" w:cs="Arial"/>
          <w:sz w:val="24"/>
          <w:szCs w:val="24"/>
          <w:lang w:val="kk-KZ"/>
        </w:rPr>
        <w:t>____________________</w:t>
      </w:r>
      <w:r w:rsidRPr="00E76016">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E76016"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Температуралық-ылғалдылық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Көкөністерді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lastRenderedPageBreak/>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Тәуліктік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сақтауға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spellStart"/>
            <w:r w:rsidRPr="00752111">
              <w:rPr>
                <w:rFonts w:ascii="Arial" w:eastAsia="Times New Roman" w:hAnsi="Arial" w:cs="Arial"/>
                <w:b/>
                <w:sz w:val="24"/>
                <w:szCs w:val="24"/>
              </w:rPr>
              <w:t>Пісіру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lastRenderedPageBreak/>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резеңке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өндірістік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және</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пайдалану</w:t>
            </w:r>
            <w:proofErr w:type="spellEnd"/>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 xml:space="preserve">Сапа мен </w:t>
            </w:r>
            <w:proofErr w:type="spellStart"/>
            <w:r w:rsidRPr="00752111">
              <w:rPr>
                <w:rFonts w:ascii="Arial" w:hAnsi="Arial" w:cs="Arial"/>
                <w:sz w:val="24"/>
                <w:szCs w:val="24"/>
              </w:rPr>
              <w:t>қауіпсіздікті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Жұмыртқа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азық-түлікті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lastRenderedPageBreak/>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мерзімі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Келіп</w:t>
            </w:r>
            <w:proofErr w:type="spell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 xml:space="preserve">Тез </w:t>
            </w:r>
            <w:proofErr w:type="spellStart"/>
            <w:r w:rsidRPr="00752111">
              <w:rPr>
                <w:rFonts w:ascii="Arial" w:hAnsi="Arial" w:cs="Arial"/>
                <w:sz w:val="24"/>
                <w:szCs w:val="24"/>
              </w:rPr>
              <w:t>бұзылатын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белгісі</w:t>
            </w:r>
            <w:proofErr w:type="spellEnd"/>
            <w:r w:rsidRPr="00752111">
              <w:rPr>
                <w:rFonts w:ascii="Arial" w:hAnsi="Arial" w:cs="Arial"/>
                <w:sz w:val="24"/>
                <w:szCs w:val="24"/>
              </w:rPr>
              <w:t xml:space="preserve"> бар 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Өндірістік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Душ </w:t>
            </w:r>
            <w:proofErr w:type="spellStart"/>
            <w:r w:rsidRPr="00752111">
              <w:rPr>
                <w:rFonts w:ascii="Arial" w:hAnsi="Arial" w:cs="Arial"/>
                <w:sz w:val="24"/>
                <w:szCs w:val="24"/>
              </w:rPr>
              <w:t>бөлмесі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lastRenderedPageBreak/>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Дезинфекциялық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ілеспе</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Өнім</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және</w:t>
      </w:r>
      <w:proofErr w:type="spellEnd"/>
      <w:r w:rsidRPr="00752111">
        <w:rPr>
          <w:rFonts w:ascii="Arial" w:eastAsia="Times New Roman" w:hAnsi="Arial" w:cs="Arial"/>
          <w:b/>
          <w:sz w:val="24"/>
          <w:szCs w:val="24"/>
        </w:rPr>
        <w:t>/</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sectPr w:rsidR="00126A55" w:rsidSect="00E203A7">
      <w:headerReference w:type="default" r:id="rId8"/>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E8" w:rsidRDefault="000401E8" w:rsidP="00BC1EC3">
      <w:r>
        <w:separator/>
      </w:r>
    </w:p>
  </w:endnote>
  <w:endnote w:type="continuationSeparator" w:id="0">
    <w:p w:rsidR="000401E8" w:rsidRDefault="000401E8"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E8" w:rsidRDefault="000401E8" w:rsidP="00BC1EC3">
      <w:r>
        <w:separator/>
      </w:r>
    </w:p>
  </w:footnote>
  <w:footnote w:type="continuationSeparator" w:id="0">
    <w:p w:rsidR="000401E8" w:rsidRDefault="000401E8" w:rsidP="00BC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E76016">
          <w:rPr>
            <w:noProof/>
          </w:rPr>
          <w:t>8</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1E8"/>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4E5A"/>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5FC1"/>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76016"/>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426DA-2561-4F8A-9420-14522E4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32F8-A2F8-4B03-85D3-D6324114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2</cp:revision>
  <cp:lastPrinted>2020-03-16T13:43:00Z</cp:lastPrinted>
  <dcterms:created xsi:type="dcterms:W3CDTF">2021-12-06T03:39:00Z</dcterms:created>
  <dcterms:modified xsi:type="dcterms:W3CDTF">2021-12-06T03:39:00Z</dcterms:modified>
</cp:coreProperties>
</file>